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 xml:space="preserve">Прокуратурой Серебряно-Прудского района проведена проверка соблюдения законодательства о размещении заказов на поставки товаров,выполнение работ,оказание услуг для муниципальных нужд МУЗ Серебряно-Прудская ЦРБ ,в ходе которой установлено, что  путем проведения торгов,запроса котировок за 2012 год размещено заказов на  поставки товаров,выполнение работ,оказание услуг для муниципальных нужд заказчиков у субъектов малого предпринимательства в размере менее 10 процентов общего годового объема поставок товаров,выполнения работ,оказания услуг в соответствии с перечнем товаров,работ,услуг,установленным </w:t>
      </w:r>
      <w:r>
        <w:rPr>
          <w:lang w:val="ru-RU"/>
        </w:rPr>
        <w:t>Правительством Российской Федерации.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 xml:space="preserve">По результатам проверки было возбуждено дело об административном правонарушении, предусмотренном ч.11 ст. 7.30 </w:t>
      </w:r>
      <w:r>
        <w:rPr>
          <w:lang w:val="ru-RU"/>
        </w:rPr>
        <w:t>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2014-02-12T16:46:13Z</dcterms:modified>
  <cp:revision>4</cp:revision>
</cp:coreProperties>
</file>